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27DC3" w14:textId="77777777" w:rsidR="00FA3548" w:rsidRPr="00C55425" w:rsidRDefault="00C55425" w:rsidP="00733428">
      <w:pPr>
        <w:jc w:val="center"/>
        <w:rPr>
          <w:rFonts w:ascii="Arial" w:hAnsi="Arial" w:cs="Arial"/>
          <w:b/>
          <w:sz w:val="20"/>
        </w:rPr>
      </w:pPr>
      <w:r w:rsidRPr="00C55425">
        <w:rPr>
          <w:rFonts w:ascii="Arial" w:hAnsi="Arial" w:cs="Arial"/>
          <w:b/>
          <w:sz w:val="20"/>
        </w:rPr>
        <w:t>SPROUTS FARMERS MARKET, INC.</w:t>
      </w:r>
    </w:p>
    <w:p w14:paraId="0ABF5F82" w14:textId="77777777" w:rsidR="00FA3548" w:rsidRPr="00C55425" w:rsidRDefault="00FA3548" w:rsidP="00733428">
      <w:pPr>
        <w:jc w:val="center"/>
        <w:rPr>
          <w:rFonts w:ascii="Arial" w:hAnsi="Arial" w:cs="Arial"/>
          <w:b/>
          <w:sz w:val="20"/>
        </w:rPr>
      </w:pPr>
    </w:p>
    <w:p w14:paraId="6ABFC482" w14:textId="77777777" w:rsidR="00FA3548" w:rsidRDefault="00C55425" w:rsidP="00733428">
      <w:pPr>
        <w:jc w:val="center"/>
        <w:rPr>
          <w:rFonts w:ascii="Arial" w:hAnsi="Arial" w:cs="Arial"/>
          <w:b/>
          <w:sz w:val="20"/>
        </w:rPr>
      </w:pPr>
      <w:r w:rsidRPr="00C55425">
        <w:rPr>
          <w:rFonts w:ascii="Arial" w:hAnsi="Arial" w:cs="Arial"/>
          <w:b/>
          <w:sz w:val="20"/>
        </w:rPr>
        <w:t>DISCLOSURE POLICY</w:t>
      </w:r>
    </w:p>
    <w:p w14:paraId="59E2979A" w14:textId="77777777" w:rsidR="000F7D9E" w:rsidRPr="00C55425" w:rsidRDefault="000F7D9E" w:rsidP="00733428">
      <w:pPr>
        <w:jc w:val="center"/>
        <w:rPr>
          <w:rFonts w:ascii="Arial" w:hAnsi="Arial" w:cs="Arial"/>
          <w:b/>
          <w:sz w:val="20"/>
        </w:rPr>
      </w:pPr>
    </w:p>
    <w:p w14:paraId="64DEC9C2" w14:textId="77777777" w:rsidR="00FA3548" w:rsidRDefault="00C55425" w:rsidP="00733428">
      <w:pPr>
        <w:spacing w:after="200"/>
        <w:jc w:val="both"/>
        <w:rPr>
          <w:rFonts w:ascii="Arial" w:hAnsi="Arial" w:cs="Arial"/>
          <w:sz w:val="20"/>
        </w:rPr>
      </w:pPr>
      <w:r>
        <w:rPr>
          <w:rFonts w:ascii="Arial" w:hAnsi="Arial" w:cs="Arial"/>
          <w:b/>
          <w:sz w:val="20"/>
        </w:rPr>
        <w:t>General</w:t>
      </w:r>
    </w:p>
    <w:p w14:paraId="51EEF702" w14:textId="77777777" w:rsidR="00FA3548" w:rsidRDefault="00C55425" w:rsidP="00733428">
      <w:pPr>
        <w:spacing w:after="200"/>
        <w:jc w:val="both"/>
        <w:rPr>
          <w:rFonts w:ascii="Arial" w:hAnsi="Arial" w:cs="Arial"/>
          <w:sz w:val="20"/>
        </w:rPr>
      </w:pPr>
      <w:r>
        <w:rPr>
          <w:rFonts w:ascii="Arial" w:hAnsi="Arial" w:cs="Arial"/>
          <w:sz w:val="20"/>
        </w:rPr>
        <w:t>The Company is committed to providing public disclosures that are consistent, accurate and complete in all material respects and made on a timely basis as required by applicable laws, regulations and stock exchange requirements.</w:t>
      </w:r>
    </w:p>
    <w:p w14:paraId="5786F845" w14:textId="77777777" w:rsidR="00FA3548" w:rsidRDefault="00C55425" w:rsidP="00733428">
      <w:pPr>
        <w:spacing w:after="200"/>
        <w:jc w:val="both"/>
        <w:rPr>
          <w:rFonts w:ascii="Arial" w:hAnsi="Arial" w:cs="Arial"/>
          <w:sz w:val="20"/>
        </w:rPr>
      </w:pPr>
      <w:r>
        <w:rPr>
          <w:rFonts w:ascii="Arial" w:hAnsi="Arial" w:cs="Arial"/>
          <w:sz w:val="20"/>
        </w:rPr>
        <w:t xml:space="preserve">This Disclosure Policy covers all Company spokespersons, team members and the Board of Directors of the Company.  It covers the Company’s periodic and current SEC reports, proxy statements and annual reports, and press releases, all presentations to the public (including investors and securities analysts), website disclosures and other public dissemination of information intended primarily for investors (“Disclosure Statements”).  Without limiting the foregoing, it covers oral statements made </w:t>
      </w:r>
      <w:proofErr w:type="gramStart"/>
      <w:r>
        <w:rPr>
          <w:rFonts w:ascii="Arial" w:hAnsi="Arial" w:cs="Arial"/>
          <w:sz w:val="20"/>
        </w:rPr>
        <w:t>in group</w:t>
      </w:r>
      <w:proofErr w:type="gramEnd"/>
      <w:r>
        <w:rPr>
          <w:rFonts w:ascii="Arial" w:hAnsi="Arial" w:cs="Arial"/>
          <w:sz w:val="20"/>
        </w:rPr>
        <w:t xml:space="preserve"> and individual meetings with analysts </w:t>
      </w:r>
      <w:r w:rsidR="00007DEC">
        <w:rPr>
          <w:rFonts w:ascii="Arial" w:hAnsi="Arial" w:cs="Arial"/>
          <w:sz w:val="20"/>
        </w:rPr>
        <w:t xml:space="preserve">(“buy-side and “sell-side”) </w:t>
      </w:r>
      <w:r>
        <w:rPr>
          <w:rFonts w:ascii="Arial" w:hAnsi="Arial" w:cs="Arial"/>
          <w:sz w:val="20"/>
        </w:rPr>
        <w:t xml:space="preserve">and investors, phone calls with analysts and investors, interviews with </w:t>
      </w:r>
      <w:r w:rsidR="00007DEC">
        <w:rPr>
          <w:rFonts w:ascii="Arial" w:hAnsi="Arial" w:cs="Arial"/>
          <w:sz w:val="20"/>
        </w:rPr>
        <w:t>news</w:t>
      </w:r>
      <w:r>
        <w:rPr>
          <w:rFonts w:ascii="Arial" w:hAnsi="Arial" w:cs="Arial"/>
          <w:sz w:val="20"/>
        </w:rPr>
        <w:t xml:space="preserve"> media, and investor conferences.</w:t>
      </w:r>
    </w:p>
    <w:p w14:paraId="6FEF4229" w14:textId="77777777" w:rsidR="00FA3548" w:rsidRDefault="00C55425" w:rsidP="00733428">
      <w:pPr>
        <w:spacing w:after="200"/>
        <w:jc w:val="both"/>
        <w:rPr>
          <w:rFonts w:ascii="Arial" w:hAnsi="Arial" w:cs="Arial"/>
          <w:sz w:val="20"/>
        </w:rPr>
      </w:pPr>
      <w:r>
        <w:rPr>
          <w:rFonts w:ascii="Arial" w:hAnsi="Arial" w:cs="Arial"/>
          <w:b/>
          <w:sz w:val="20"/>
        </w:rPr>
        <w:t>Disclosure Controls Committee</w:t>
      </w:r>
    </w:p>
    <w:p w14:paraId="48CA0998" w14:textId="77777777" w:rsidR="00FA3548" w:rsidRDefault="00C55425" w:rsidP="00733428">
      <w:pPr>
        <w:spacing w:after="200"/>
        <w:jc w:val="both"/>
        <w:rPr>
          <w:rFonts w:ascii="Arial" w:hAnsi="Arial" w:cs="Arial"/>
          <w:sz w:val="20"/>
        </w:rPr>
      </w:pPr>
      <w:r>
        <w:rPr>
          <w:rFonts w:ascii="Arial" w:hAnsi="Arial" w:cs="Arial"/>
          <w:sz w:val="20"/>
        </w:rPr>
        <w:t xml:space="preserve">This Disclosure Policy is to be administered by the Disclosure Controls Committee.  </w:t>
      </w:r>
    </w:p>
    <w:p w14:paraId="09DED8E0" w14:textId="77777777" w:rsidR="00FA3548" w:rsidRDefault="00C55425" w:rsidP="00733428">
      <w:pPr>
        <w:spacing w:after="200"/>
        <w:jc w:val="both"/>
        <w:rPr>
          <w:rFonts w:ascii="Arial" w:hAnsi="Arial" w:cs="Arial"/>
          <w:sz w:val="20"/>
        </w:rPr>
      </w:pPr>
      <w:r>
        <w:rPr>
          <w:rFonts w:ascii="Arial" w:hAnsi="Arial" w:cs="Arial"/>
          <w:sz w:val="20"/>
        </w:rPr>
        <w:t>Consistent with its charter, the Disclosure Controls Committee reviews Disclosure Statements prior to their use.  The Disclosure Controls Committee shall also be responsible for monitoring past Disclosure Statements to determine whether any updating or correcting from time to time is appropriate or necessary.</w:t>
      </w:r>
    </w:p>
    <w:p w14:paraId="4532B5E2" w14:textId="77777777" w:rsidR="00FA3548" w:rsidRDefault="00C55425" w:rsidP="00733428">
      <w:pPr>
        <w:spacing w:after="200"/>
        <w:jc w:val="both"/>
        <w:rPr>
          <w:rFonts w:ascii="Arial" w:hAnsi="Arial" w:cs="Arial"/>
          <w:sz w:val="20"/>
        </w:rPr>
      </w:pPr>
      <w:r>
        <w:rPr>
          <w:rFonts w:ascii="Arial" w:hAnsi="Arial" w:cs="Arial"/>
          <w:b/>
          <w:sz w:val="20"/>
        </w:rPr>
        <w:t>Responsibilities of Company spokesperson</w:t>
      </w:r>
      <w:r w:rsidR="00007DEC">
        <w:rPr>
          <w:rFonts w:ascii="Arial" w:hAnsi="Arial" w:cs="Arial"/>
          <w:b/>
          <w:sz w:val="20"/>
        </w:rPr>
        <w:t>s</w:t>
      </w:r>
    </w:p>
    <w:p w14:paraId="39294E35" w14:textId="7967E789" w:rsidR="00FA3548" w:rsidRDefault="00007DEC" w:rsidP="00733428">
      <w:pPr>
        <w:spacing w:after="200"/>
        <w:jc w:val="both"/>
        <w:rPr>
          <w:rFonts w:ascii="Arial" w:hAnsi="Arial" w:cs="Arial"/>
          <w:sz w:val="20"/>
        </w:rPr>
      </w:pPr>
      <w:r>
        <w:rPr>
          <w:rFonts w:ascii="Arial" w:hAnsi="Arial" w:cs="Arial"/>
          <w:sz w:val="20"/>
        </w:rPr>
        <w:t xml:space="preserve">Unless otherwise approved by the Company’s Board of Directors, the only persons authorized to discuss Company matters with the </w:t>
      </w:r>
      <w:r w:rsidR="00A77518">
        <w:rPr>
          <w:rFonts w:ascii="Arial" w:hAnsi="Arial" w:cs="Arial"/>
          <w:sz w:val="20"/>
        </w:rPr>
        <w:t xml:space="preserve">financial </w:t>
      </w:r>
      <w:r>
        <w:rPr>
          <w:rFonts w:ascii="Arial" w:hAnsi="Arial" w:cs="Arial"/>
          <w:sz w:val="20"/>
        </w:rPr>
        <w:t xml:space="preserve">news media, investment community or industry analysts are as follows: the President and Chief Executive Officer, the Chief Financial Officer, the Chief Legal Officer, and the Vice President of Investor Relations and Communications, or their designees (“Authorized Spokespersons”). </w:t>
      </w:r>
      <w:r w:rsidR="00A77518">
        <w:rPr>
          <w:rFonts w:ascii="Arial" w:hAnsi="Arial" w:cs="Arial"/>
          <w:sz w:val="20"/>
        </w:rPr>
        <w:t>For clarification, the Company’s Chief Marketing Officer or his/her designees</w:t>
      </w:r>
      <w:bookmarkStart w:id="0" w:name="_GoBack"/>
      <w:bookmarkEnd w:id="0"/>
      <w:r w:rsidR="00A77518">
        <w:rPr>
          <w:rFonts w:ascii="Arial" w:hAnsi="Arial" w:cs="Arial"/>
          <w:sz w:val="20"/>
        </w:rPr>
        <w:t xml:space="preserve"> is authorized to discuss ordinary course marketing matters with the non-financial media. </w:t>
      </w:r>
      <w:r w:rsidR="00C55425">
        <w:rPr>
          <w:rFonts w:ascii="Arial" w:hAnsi="Arial" w:cs="Arial"/>
          <w:sz w:val="20"/>
        </w:rPr>
        <w:t xml:space="preserve">It is essential that </w:t>
      </w:r>
      <w:r>
        <w:rPr>
          <w:rFonts w:ascii="Arial" w:hAnsi="Arial" w:cs="Arial"/>
          <w:sz w:val="20"/>
        </w:rPr>
        <w:t>Authorized Spokespersons</w:t>
      </w:r>
      <w:r w:rsidR="00C55425">
        <w:rPr>
          <w:rFonts w:ascii="Arial" w:hAnsi="Arial" w:cs="Arial"/>
          <w:sz w:val="20"/>
        </w:rPr>
        <w:t xml:space="preserve"> and the Disclosure Controls Committee, as well as the Company's outside corporate counsel, as deemed appropriate by the Chief Legal Officer, continue to be apprised of all Company developments in order that they be in a position to evaluate and discuss those events that may impact the disclosure process (</w:t>
      </w:r>
      <w:r w:rsidR="00C55425">
        <w:rPr>
          <w:rFonts w:ascii="Arial" w:hAnsi="Arial" w:cs="Arial"/>
          <w:sz w:val="20"/>
          <w:u w:val="single"/>
        </w:rPr>
        <w:t>e.g.</w:t>
      </w:r>
      <w:r w:rsidR="00C55425">
        <w:rPr>
          <w:rFonts w:ascii="Arial" w:hAnsi="Arial" w:cs="Arial"/>
          <w:sz w:val="20"/>
        </w:rPr>
        <w:t xml:space="preserve">, the status of any significant M&amp;A activities, the financial condition of the Company, significant trends, material operational developments, extraordinary transactions, major management changes, etc.).  </w:t>
      </w:r>
      <w:r>
        <w:rPr>
          <w:rFonts w:ascii="Arial" w:hAnsi="Arial" w:cs="Arial"/>
          <w:sz w:val="20"/>
        </w:rPr>
        <w:t xml:space="preserve">Authorized Spokespersons </w:t>
      </w:r>
      <w:r w:rsidR="00C55425">
        <w:rPr>
          <w:rFonts w:ascii="Arial" w:hAnsi="Arial" w:cs="Arial"/>
          <w:sz w:val="20"/>
        </w:rPr>
        <w:t>should be integrally involved in (</w:t>
      </w:r>
      <w:proofErr w:type="spellStart"/>
      <w:r w:rsidR="00C55425">
        <w:rPr>
          <w:rFonts w:ascii="Arial" w:hAnsi="Arial" w:cs="Arial"/>
          <w:sz w:val="20"/>
        </w:rPr>
        <w:t>i</w:t>
      </w:r>
      <w:proofErr w:type="spellEnd"/>
      <w:r w:rsidR="00C55425">
        <w:rPr>
          <w:rFonts w:ascii="Arial" w:hAnsi="Arial" w:cs="Arial"/>
          <w:sz w:val="20"/>
        </w:rPr>
        <w:t xml:space="preserve">) scheduling and developing presentations for all meetings and other communications with analysts, institutional investors and other stockholders, (ii) arranging appropriate interviews with Company management, and (iii) responding to all inquiries from the public for additional information.  </w:t>
      </w:r>
    </w:p>
    <w:p w14:paraId="00AA1901" w14:textId="251BCCA8" w:rsidR="00FA3548" w:rsidRPr="0029779E" w:rsidRDefault="00C55425" w:rsidP="00733428">
      <w:pPr>
        <w:spacing w:after="200"/>
        <w:jc w:val="both"/>
        <w:rPr>
          <w:rFonts w:ascii="Arial" w:hAnsi="Arial" w:cs="Arial"/>
          <w:sz w:val="20"/>
        </w:rPr>
      </w:pPr>
      <w:r>
        <w:rPr>
          <w:rFonts w:ascii="Arial" w:hAnsi="Arial" w:cs="Arial"/>
          <w:b/>
          <w:sz w:val="20"/>
        </w:rPr>
        <w:t xml:space="preserve">Team members who are not </w:t>
      </w:r>
      <w:r w:rsidR="00007DEC">
        <w:rPr>
          <w:rFonts w:ascii="Arial" w:hAnsi="Arial" w:cs="Arial"/>
          <w:b/>
          <w:sz w:val="20"/>
        </w:rPr>
        <w:t>A</w:t>
      </w:r>
      <w:r>
        <w:rPr>
          <w:rFonts w:ascii="Arial" w:hAnsi="Arial" w:cs="Arial"/>
          <w:b/>
          <w:sz w:val="20"/>
        </w:rPr>
        <w:t xml:space="preserve">uthorized </w:t>
      </w:r>
      <w:r w:rsidR="00007DEC">
        <w:rPr>
          <w:rFonts w:ascii="Arial" w:hAnsi="Arial" w:cs="Arial"/>
          <w:b/>
          <w:sz w:val="20"/>
        </w:rPr>
        <w:t>S</w:t>
      </w:r>
      <w:r>
        <w:rPr>
          <w:rFonts w:ascii="Arial" w:hAnsi="Arial" w:cs="Arial"/>
          <w:b/>
          <w:sz w:val="20"/>
        </w:rPr>
        <w:t xml:space="preserve">pokespersons must refer calls or other inquiries regarding the Company to the Company’s </w:t>
      </w:r>
      <w:r w:rsidR="00007DEC">
        <w:rPr>
          <w:rFonts w:ascii="Arial" w:hAnsi="Arial" w:cs="Arial"/>
          <w:b/>
          <w:sz w:val="20"/>
        </w:rPr>
        <w:t>Vice President of Investor Relations and Communications</w:t>
      </w:r>
      <w:r w:rsidR="0029779E">
        <w:rPr>
          <w:rFonts w:ascii="Arial" w:hAnsi="Arial" w:cs="Arial"/>
          <w:b/>
          <w:sz w:val="20"/>
        </w:rPr>
        <w:t xml:space="preserve">. </w:t>
      </w:r>
      <w:r w:rsidR="0029779E">
        <w:rPr>
          <w:rFonts w:ascii="Arial" w:hAnsi="Arial" w:cs="Arial"/>
          <w:sz w:val="20"/>
        </w:rPr>
        <w:t>This will help ensure consistent disclosure and avoidance of selective disclosure.</w:t>
      </w:r>
    </w:p>
    <w:p w14:paraId="188DF55C" w14:textId="77777777" w:rsidR="00FA3548" w:rsidRDefault="00C55425" w:rsidP="00733428">
      <w:pPr>
        <w:spacing w:after="200"/>
        <w:jc w:val="both"/>
        <w:rPr>
          <w:rFonts w:ascii="Arial" w:hAnsi="Arial" w:cs="Arial"/>
          <w:sz w:val="20"/>
        </w:rPr>
      </w:pPr>
      <w:r>
        <w:rPr>
          <w:rFonts w:ascii="Arial" w:hAnsi="Arial" w:cs="Arial"/>
          <w:sz w:val="20"/>
        </w:rPr>
        <w:t xml:space="preserve">Team members who are not </w:t>
      </w:r>
      <w:r w:rsidR="00007DEC">
        <w:rPr>
          <w:rFonts w:ascii="Arial" w:hAnsi="Arial" w:cs="Arial"/>
          <w:sz w:val="20"/>
        </w:rPr>
        <w:t>A</w:t>
      </w:r>
      <w:r>
        <w:rPr>
          <w:rFonts w:ascii="Arial" w:hAnsi="Arial" w:cs="Arial"/>
          <w:sz w:val="20"/>
        </w:rPr>
        <w:t xml:space="preserve">uthorized </w:t>
      </w:r>
      <w:r w:rsidR="00007DEC">
        <w:rPr>
          <w:rFonts w:ascii="Arial" w:hAnsi="Arial" w:cs="Arial"/>
          <w:sz w:val="20"/>
        </w:rPr>
        <w:t>S</w:t>
      </w:r>
      <w:r>
        <w:rPr>
          <w:rFonts w:ascii="Arial" w:hAnsi="Arial" w:cs="Arial"/>
          <w:sz w:val="20"/>
        </w:rPr>
        <w:t xml:space="preserve">pokespersons must refer all calls, requests for appearances and other information requests and inquiries from the financial community, stockholders, </w:t>
      </w:r>
      <w:proofErr w:type="gramStart"/>
      <w:r>
        <w:rPr>
          <w:rFonts w:ascii="Arial" w:hAnsi="Arial" w:cs="Arial"/>
          <w:sz w:val="20"/>
        </w:rPr>
        <w:t>any</w:t>
      </w:r>
      <w:proofErr w:type="gramEnd"/>
      <w:r>
        <w:rPr>
          <w:rFonts w:ascii="Arial" w:hAnsi="Arial" w:cs="Arial"/>
          <w:sz w:val="20"/>
        </w:rPr>
        <w:t xml:space="preserve"> media and trade associations to the Company’s </w:t>
      </w:r>
      <w:r w:rsidR="00007DEC" w:rsidRPr="00007DEC">
        <w:rPr>
          <w:rFonts w:ascii="Arial" w:hAnsi="Arial" w:cs="Arial"/>
          <w:sz w:val="20"/>
        </w:rPr>
        <w:t>Vice President of Investor Relations and Communications</w:t>
      </w:r>
      <w:r>
        <w:rPr>
          <w:rFonts w:ascii="Arial" w:hAnsi="Arial" w:cs="Arial"/>
          <w:sz w:val="20"/>
        </w:rPr>
        <w:t xml:space="preserve">.  The </w:t>
      </w:r>
      <w:r w:rsidR="00007DEC" w:rsidRPr="00007DEC">
        <w:rPr>
          <w:rFonts w:ascii="Arial" w:hAnsi="Arial" w:cs="Arial"/>
          <w:sz w:val="20"/>
        </w:rPr>
        <w:t>Vice President of Investor Relations and Communications</w:t>
      </w:r>
      <w:r w:rsidR="00007DEC">
        <w:rPr>
          <w:rFonts w:ascii="Arial" w:hAnsi="Arial" w:cs="Arial"/>
          <w:sz w:val="20"/>
        </w:rPr>
        <w:t xml:space="preserve"> </w:t>
      </w:r>
      <w:r>
        <w:rPr>
          <w:rFonts w:ascii="Arial" w:hAnsi="Arial" w:cs="Arial"/>
          <w:sz w:val="20"/>
        </w:rPr>
        <w:t xml:space="preserve">will evaluate the nature of the requested information and direct such inquiry according to the character of the requested information to </w:t>
      </w:r>
      <w:r w:rsidR="00007DEC">
        <w:rPr>
          <w:rFonts w:ascii="Arial" w:hAnsi="Arial" w:cs="Arial"/>
          <w:sz w:val="20"/>
        </w:rPr>
        <w:t>appropriate Authorized Spokesperson</w:t>
      </w:r>
      <w:r>
        <w:rPr>
          <w:rFonts w:ascii="Arial" w:hAnsi="Arial" w:cs="Arial"/>
          <w:sz w:val="20"/>
        </w:rPr>
        <w:t>.</w:t>
      </w:r>
    </w:p>
    <w:p w14:paraId="190A9488" w14:textId="77777777" w:rsidR="00FA3548" w:rsidRDefault="00C55425" w:rsidP="00733428">
      <w:pPr>
        <w:keepNext/>
        <w:spacing w:after="200"/>
        <w:jc w:val="both"/>
        <w:rPr>
          <w:rFonts w:ascii="Arial" w:hAnsi="Arial" w:cs="Arial"/>
          <w:sz w:val="20"/>
        </w:rPr>
      </w:pPr>
      <w:r>
        <w:rPr>
          <w:rFonts w:ascii="Arial" w:hAnsi="Arial" w:cs="Arial"/>
          <w:b/>
          <w:sz w:val="20"/>
        </w:rPr>
        <w:lastRenderedPageBreak/>
        <w:t>Reviewing analyst reports</w:t>
      </w:r>
    </w:p>
    <w:p w14:paraId="45F0D6AC" w14:textId="77777777" w:rsidR="00FA3548" w:rsidRDefault="00C55425" w:rsidP="00733428">
      <w:pPr>
        <w:keepNext/>
        <w:spacing w:after="200"/>
        <w:jc w:val="both"/>
        <w:rPr>
          <w:rFonts w:ascii="Arial" w:hAnsi="Arial" w:cs="Arial"/>
          <w:sz w:val="20"/>
        </w:rPr>
      </w:pPr>
      <w:r>
        <w:rPr>
          <w:rFonts w:ascii="Arial" w:hAnsi="Arial" w:cs="Arial"/>
          <w:sz w:val="20"/>
        </w:rPr>
        <w:t xml:space="preserve">With regard to responding to financial models or drafts of analysts' research reports, it is the policy of the Company to review only for factual content and to comment only to correct factual inaccuracies or to note assumptions made on the basis of incorrect data, in all cases solely on the basis of publicly available information.  It is the policy of the Company that all analysts </w:t>
      </w:r>
      <w:proofErr w:type="gramStart"/>
      <w:r>
        <w:rPr>
          <w:rFonts w:ascii="Arial" w:hAnsi="Arial" w:cs="Arial"/>
          <w:sz w:val="20"/>
        </w:rPr>
        <w:t>be</w:t>
      </w:r>
      <w:proofErr w:type="gramEnd"/>
      <w:r>
        <w:rPr>
          <w:rFonts w:ascii="Arial" w:hAnsi="Arial" w:cs="Arial"/>
          <w:sz w:val="20"/>
        </w:rPr>
        <w:t xml:space="preserve"> treated on a substantially equal basis and all analysts’ reports be reviewed in substantially the same manner.  A written statement, substantially in the form attached as </w:t>
      </w:r>
      <w:r>
        <w:rPr>
          <w:rFonts w:ascii="Arial" w:hAnsi="Arial" w:cs="Arial"/>
          <w:sz w:val="20"/>
          <w:u w:val="single"/>
        </w:rPr>
        <w:t>Annex A</w:t>
      </w:r>
      <w:r>
        <w:rPr>
          <w:rFonts w:ascii="Arial" w:hAnsi="Arial" w:cs="Arial"/>
          <w:sz w:val="20"/>
        </w:rPr>
        <w:t xml:space="preserve"> hereto, will be provided with each review stating that the Company reviewed the report/model for factual errors only and such review did not extend to soft information or conclusions.  It is imperative that the </w:t>
      </w:r>
      <w:proofErr w:type="gramStart"/>
      <w:r>
        <w:rPr>
          <w:rFonts w:ascii="Arial" w:hAnsi="Arial" w:cs="Arial"/>
          <w:sz w:val="20"/>
        </w:rPr>
        <w:t>control of this process continue</w:t>
      </w:r>
      <w:proofErr w:type="gramEnd"/>
      <w:r>
        <w:rPr>
          <w:rFonts w:ascii="Arial" w:hAnsi="Arial" w:cs="Arial"/>
          <w:sz w:val="20"/>
        </w:rPr>
        <w:t xml:space="preserve"> to be centralized through the Company's Chief Financial Officer</w:t>
      </w:r>
      <w:r w:rsidR="00007DEC">
        <w:rPr>
          <w:rFonts w:ascii="Arial" w:hAnsi="Arial" w:cs="Arial"/>
          <w:sz w:val="20"/>
        </w:rPr>
        <w:t xml:space="preserve"> and </w:t>
      </w:r>
      <w:r w:rsidR="00007DEC" w:rsidRPr="00007DEC">
        <w:rPr>
          <w:rFonts w:ascii="Arial" w:hAnsi="Arial" w:cs="Arial"/>
          <w:sz w:val="20"/>
        </w:rPr>
        <w:t>Vice President of Investor Relations and Communications</w:t>
      </w:r>
      <w:r>
        <w:rPr>
          <w:rFonts w:ascii="Arial" w:hAnsi="Arial" w:cs="Arial"/>
          <w:sz w:val="20"/>
        </w:rPr>
        <w:t>.</w:t>
      </w:r>
    </w:p>
    <w:p w14:paraId="43685B97" w14:textId="77777777" w:rsidR="00FA3548" w:rsidRDefault="00C55425" w:rsidP="00733428">
      <w:pPr>
        <w:keepNext/>
        <w:spacing w:after="200"/>
        <w:jc w:val="both"/>
        <w:rPr>
          <w:rFonts w:ascii="Arial" w:hAnsi="Arial" w:cs="Arial"/>
          <w:sz w:val="20"/>
        </w:rPr>
      </w:pPr>
      <w:r>
        <w:rPr>
          <w:rFonts w:ascii="Arial" w:hAnsi="Arial" w:cs="Arial"/>
          <w:sz w:val="20"/>
        </w:rPr>
        <w:t>The Company regards analyst reports as proprietary information belonging to the analyst's firm and will not provide such reports on the Company's website or through any other means to persons outside the Company.  All analyst reports on the Company and industry reports available will be provided periodically to the Board of Directors and to senior management.  A digest of analyst reports will be maintained by the Disclosure Controls Committee for internal use only.</w:t>
      </w:r>
    </w:p>
    <w:p w14:paraId="158E7C96" w14:textId="77777777" w:rsidR="00FA3548" w:rsidRDefault="00C55425" w:rsidP="00733428">
      <w:pPr>
        <w:spacing w:after="200"/>
        <w:jc w:val="both"/>
        <w:rPr>
          <w:rFonts w:ascii="Arial" w:hAnsi="Arial" w:cs="Arial"/>
          <w:sz w:val="20"/>
        </w:rPr>
      </w:pPr>
      <w:r>
        <w:rPr>
          <w:rFonts w:ascii="Arial" w:hAnsi="Arial" w:cs="Arial"/>
          <w:b/>
          <w:sz w:val="20"/>
        </w:rPr>
        <w:t>Responding to rumors</w:t>
      </w:r>
    </w:p>
    <w:p w14:paraId="164E39F9" w14:textId="77777777" w:rsidR="00FA3548" w:rsidRDefault="00C55425" w:rsidP="00733428">
      <w:pPr>
        <w:spacing w:after="200"/>
        <w:jc w:val="both"/>
        <w:rPr>
          <w:rFonts w:ascii="Arial" w:hAnsi="Arial" w:cs="Arial"/>
          <w:sz w:val="20"/>
        </w:rPr>
      </w:pPr>
      <w:r>
        <w:rPr>
          <w:rFonts w:ascii="Arial" w:hAnsi="Arial" w:cs="Arial"/>
          <w:sz w:val="20"/>
        </w:rPr>
        <w:t xml:space="preserve">It is the policy of the Company to respond consistently to questions about rumors in the following manner, </w:t>
      </w:r>
      <w:r>
        <w:rPr>
          <w:rFonts w:ascii="Arial" w:hAnsi="Arial" w:cs="Arial"/>
          <w:b/>
          <w:sz w:val="20"/>
        </w:rPr>
        <w:t>"It is our policy not to comment about rumors or speculation."</w:t>
      </w:r>
      <w:r>
        <w:rPr>
          <w:rFonts w:ascii="Arial" w:hAnsi="Arial" w:cs="Arial"/>
          <w:sz w:val="20"/>
        </w:rPr>
        <w:t xml:space="preserve">  Depending upon the particular facts and circumstances, NASDAQ rules may require the Company to make a more definitive statement; this determination will be made by the Chief Legal Officer.</w:t>
      </w:r>
    </w:p>
    <w:p w14:paraId="5212B0C4" w14:textId="77777777" w:rsidR="00FA3548" w:rsidRDefault="00C55425" w:rsidP="00733428">
      <w:pPr>
        <w:spacing w:after="200"/>
        <w:jc w:val="both"/>
        <w:rPr>
          <w:rFonts w:ascii="Arial" w:hAnsi="Arial" w:cs="Arial"/>
          <w:sz w:val="20"/>
        </w:rPr>
      </w:pPr>
      <w:r>
        <w:rPr>
          <w:rFonts w:ascii="Arial" w:hAnsi="Arial" w:cs="Arial"/>
          <w:b/>
          <w:sz w:val="20"/>
        </w:rPr>
        <w:t>Commenting on analyst earnings estimates</w:t>
      </w:r>
    </w:p>
    <w:p w14:paraId="32142898" w14:textId="77777777" w:rsidR="00FA3548" w:rsidRDefault="00C55425" w:rsidP="00733428">
      <w:pPr>
        <w:spacing w:after="200"/>
        <w:jc w:val="both"/>
        <w:rPr>
          <w:rFonts w:ascii="Arial" w:hAnsi="Arial" w:cs="Arial"/>
          <w:sz w:val="20"/>
        </w:rPr>
      </w:pPr>
      <w:r>
        <w:rPr>
          <w:rFonts w:ascii="Arial" w:hAnsi="Arial" w:cs="Arial"/>
          <w:sz w:val="20"/>
        </w:rPr>
        <w:t>It is the policy of the Company when analysts inquire with respect to their earnings estimates for the Company to acknowledge what the range of street estimates is, but not to comment further (i.e., not to say whether the Company is comfortable with the range or challenge an analyst's assumptions).</w:t>
      </w:r>
    </w:p>
    <w:p w14:paraId="4A661D72" w14:textId="77777777" w:rsidR="00FA3548" w:rsidRDefault="00C55425" w:rsidP="00733428">
      <w:pPr>
        <w:spacing w:after="200"/>
        <w:jc w:val="both"/>
        <w:rPr>
          <w:rFonts w:ascii="Arial" w:hAnsi="Arial" w:cs="Arial"/>
          <w:sz w:val="20"/>
        </w:rPr>
      </w:pPr>
      <w:r>
        <w:rPr>
          <w:rFonts w:ascii="Arial" w:hAnsi="Arial" w:cs="Arial"/>
          <w:sz w:val="20"/>
        </w:rPr>
        <w:t>Should the Company determine during a quarter that earnings will likely be out of the range of the current estimates (particularly if earnings will likely be below the range), the Disclosure Control Committee may consider a broadly disseminated press release, followed by a group conference call with analysts and significant investors, with full public access, explaining this and possibly the reason or reasons why.  This would be done to avoid "earnings surprises" to the extent possible.</w:t>
      </w:r>
    </w:p>
    <w:p w14:paraId="4A846A2B" w14:textId="77777777" w:rsidR="00FA3548" w:rsidRDefault="00C55425" w:rsidP="00733428">
      <w:pPr>
        <w:spacing w:after="200"/>
        <w:jc w:val="both"/>
        <w:rPr>
          <w:rFonts w:ascii="Arial" w:hAnsi="Arial" w:cs="Arial"/>
          <w:sz w:val="20"/>
        </w:rPr>
      </w:pPr>
      <w:r>
        <w:rPr>
          <w:rFonts w:ascii="Arial" w:hAnsi="Arial" w:cs="Arial"/>
          <w:sz w:val="20"/>
        </w:rPr>
        <w:t>It is the policy of the Company to observe a "quiet period" during the period commencing two weeks prior to the end of each fiscal quarter through the corresponding quarterly earnings announcements, during which time there will be no comment on analysts' earnings estimates or the condition of the business.</w:t>
      </w:r>
    </w:p>
    <w:p w14:paraId="54E9BF99" w14:textId="77777777" w:rsidR="00FA3548" w:rsidRDefault="00C55425" w:rsidP="00733428">
      <w:pPr>
        <w:spacing w:after="200"/>
        <w:jc w:val="both"/>
        <w:rPr>
          <w:rFonts w:ascii="Arial" w:hAnsi="Arial" w:cs="Arial"/>
          <w:sz w:val="20"/>
        </w:rPr>
      </w:pPr>
      <w:r>
        <w:rPr>
          <w:rFonts w:ascii="Arial" w:hAnsi="Arial" w:cs="Arial"/>
          <w:b/>
          <w:sz w:val="20"/>
        </w:rPr>
        <w:t>Forward-looking statements</w:t>
      </w:r>
    </w:p>
    <w:p w14:paraId="26683177" w14:textId="77777777" w:rsidR="00FA3548" w:rsidRDefault="00C55425" w:rsidP="00733428">
      <w:pPr>
        <w:spacing w:after="200"/>
        <w:jc w:val="both"/>
        <w:rPr>
          <w:rFonts w:ascii="Arial" w:hAnsi="Arial" w:cs="Arial"/>
          <w:sz w:val="20"/>
        </w:rPr>
      </w:pPr>
      <w:r>
        <w:rPr>
          <w:rFonts w:ascii="Arial" w:hAnsi="Arial" w:cs="Arial"/>
          <w:sz w:val="20"/>
        </w:rPr>
        <w:t xml:space="preserve">The Company may publicly disclose forward-looking information to enable the investment community to better evaluate the Company and its prospects, including statements and/or responses to inquiries with respect to such items as revenue projections, income or income loss projections, and pricing and profit margin trends.  The Company will ensure that such statements are </w:t>
      </w:r>
      <w:r>
        <w:rPr>
          <w:rFonts w:ascii="Arial" w:hAnsi="Arial" w:cs="Arial"/>
          <w:sz w:val="20"/>
          <w:u w:val="single"/>
        </w:rPr>
        <w:t>identifiable</w:t>
      </w:r>
      <w:r>
        <w:rPr>
          <w:rFonts w:ascii="Arial" w:hAnsi="Arial" w:cs="Arial"/>
          <w:sz w:val="20"/>
        </w:rPr>
        <w:t xml:space="preserve"> as forward-looking.  Moreover, all statements will be accompanied by meaningful cautionary statements identifying important factors that could cause actual results to differ materially from those projected in the statement.</w:t>
      </w:r>
    </w:p>
    <w:p w14:paraId="063E76C1" w14:textId="77777777" w:rsidR="00FA3548" w:rsidRDefault="00C55425" w:rsidP="00733428">
      <w:pPr>
        <w:spacing w:after="200"/>
        <w:jc w:val="both"/>
        <w:rPr>
          <w:rFonts w:ascii="Arial" w:hAnsi="Arial" w:cs="Arial"/>
          <w:sz w:val="20"/>
        </w:rPr>
      </w:pPr>
      <w:r>
        <w:rPr>
          <w:rFonts w:ascii="Arial" w:hAnsi="Arial" w:cs="Arial"/>
          <w:sz w:val="20"/>
        </w:rPr>
        <w:t>N</w:t>
      </w:r>
      <w:r>
        <w:rPr>
          <w:rFonts w:ascii="Arial" w:hAnsi="Arial" w:cs="Arial"/>
          <w:b/>
          <w:sz w:val="20"/>
        </w:rPr>
        <w:t>on-GAAP Financial Measures</w:t>
      </w:r>
    </w:p>
    <w:p w14:paraId="255E7965" w14:textId="77777777" w:rsidR="00FA3548" w:rsidRDefault="00C55425" w:rsidP="00733428">
      <w:pPr>
        <w:spacing w:after="200"/>
        <w:jc w:val="both"/>
        <w:rPr>
          <w:rFonts w:ascii="Arial" w:hAnsi="Arial" w:cs="Arial"/>
          <w:sz w:val="20"/>
        </w:rPr>
      </w:pPr>
      <w:r>
        <w:rPr>
          <w:rFonts w:ascii="Arial" w:hAnsi="Arial" w:cs="Arial"/>
          <w:sz w:val="20"/>
        </w:rPr>
        <w:t xml:space="preserve">The Company may publicly disclose non-GAAP financial measures (as defined by the rules and regulations of the SEC).  Any public disclosure of a non-GAAP financial measure shall be made in compliance with SEC rules with respect thereto.  </w:t>
      </w:r>
    </w:p>
    <w:p w14:paraId="3463E2C5" w14:textId="77777777" w:rsidR="00FA3548" w:rsidRDefault="00C55425" w:rsidP="00733428">
      <w:pPr>
        <w:keepNext/>
        <w:keepLines/>
        <w:spacing w:after="200"/>
        <w:jc w:val="both"/>
        <w:rPr>
          <w:rFonts w:ascii="Arial" w:hAnsi="Arial" w:cs="Arial"/>
          <w:b/>
          <w:sz w:val="20"/>
        </w:rPr>
      </w:pPr>
      <w:r>
        <w:rPr>
          <w:rFonts w:ascii="Arial" w:hAnsi="Arial" w:cs="Arial"/>
          <w:b/>
          <w:sz w:val="20"/>
        </w:rPr>
        <w:lastRenderedPageBreak/>
        <w:t>Internal Disclosures</w:t>
      </w:r>
    </w:p>
    <w:p w14:paraId="76FF798D" w14:textId="77777777" w:rsidR="00FA3548" w:rsidRDefault="00C55425" w:rsidP="00733428">
      <w:pPr>
        <w:keepNext/>
        <w:keepLines/>
        <w:spacing w:after="200"/>
        <w:jc w:val="both"/>
        <w:rPr>
          <w:rFonts w:ascii="Arial" w:hAnsi="Arial" w:cs="Arial"/>
          <w:sz w:val="20"/>
        </w:rPr>
      </w:pPr>
      <w:r>
        <w:rPr>
          <w:rFonts w:ascii="Arial" w:hAnsi="Arial" w:cs="Arial"/>
          <w:sz w:val="20"/>
        </w:rPr>
        <w:t xml:space="preserve">The Board of Directors of the Company should be kept aware of all material developments and significant information disseminated to the public.  Moreover, Board members and other insiders will be apprised of material developments that the Company is </w:t>
      </w:r>
      <w:r>
        <w:rPr>
          <w:rFonts w:ascii="Arial" w:hAnsi="Arial" w:cs="Arial"/>
          <w:sz w:val="20"/>
          <w:u w:val="single"/>
        </w:rPr>
        <w:t>not</w:t>
      </w:r>
      <w:r>
        <w:rPr>
          <w:rFonts w:ascii="Arial" w:hAnsi="Arial" w:cs="Arial"/>
          <w:sz w:val="20"/>
        </w:rPr>
        <w:t xml:space="preserve"> ready to announce publicly in order to avoid premature or selective disclosure or inadvertent insider trading.</w:t>
      </w:r>
    </w:p>
    <w:p w14:paraId="41E71C32" w14:textId="77777777" w:rsidR="00FA3548" w:rsidRDefault="00C55425" w:rsidP="00733428">
      <w:pPr>
        <w:spacing w:after="200"/>
        <w:jc w:val="both"/>
        <w:rPr>
          <w:rFonts w:ascii="Arial" w:hAnsi="Arial" w:cs="Arial"/>
          <w:sz w:val="20"/>
        </w:rPr>
      </w:pPr>
      <w:r>
        <w:rPr>
          <w:rFonts w:ascii="Arial" w:hAnsi="Arial" w:cs="Arial"/>
          <w:b/>
          <w:sz w:val="20"/>
        </w:rPr>
        <w:t>Other Disclosure Matters</w:t>
      </w:r>
    </w:p>
    <w:p w14:paraId="5A317B4F" w14:textId="77777777" w:rsidR="00FA3548" w:rsidRDefault="00C55425" w:rsidP="00733428">
      <w:pPr>
        <w:keepLines/>
        <w:spacing w:after="200"/>
        <w:jc w:val="both"/>
        <w:rPr>
          <w:rFonts w:ascii="Arial" w:hAnsi="Arial" w:cs="Arial"/>
          <w:sz w:val="20"/>
        </w:rPr>
      </w:pPr>
      <w:r>
        <w:rPr>
          <w:rFonts w:ascii="Arial" w:hAnsi="Arial" w:cs="Arial"/>
          <w:sz w:val="20"/>
        </w:rPr>
        <w:t xml:space="preserve">The Company shall maintain a routine procedure for all corporate communications.  The procedure consists of drafting a press release, circulating it for review to the members of the Disclosure Controls Committee, and others as appropriate, alerting the NASDAQ Global Select Market (if required) and disseminating the release through a national wire service and other distribution channels so as to effect broad dissemination to all public entities.  In addition, the Company will broadly disseminate advance notice that all earnings and other material conference calls with analysts will be available for live public access through the Company's website at </w:t>
      </w:r>
      <w:r>
        <w:rPr>
          <w:rFonts w:ascii="Arial" w:hAnsi="Arial" w:cs="Arial"/>
          <w:i/>
          <w:sz w:val="20"/>
        </w:rPr>
        <w:t>www.sprouts.com</w:t>
      </w:r>
      <w:r>
        <w:rPr>
          <w:rFonts w:ascii="Arial" w:hAnsi="Arial" w:cs="Arial"/>
          <w:sz w:val="20"/>
        </w:rPr>
        <w:t xml:space="preserve"> (with replays available for 2-3 weeks).</w:t>
      </w:r>
    </w:p>
    <w:p w14:paraId="37547B0A" w14:textId="77777777" w:rsidR="00FA3548" w:rsidRDefault="00C55425" w:rsidP="00733428">
      <w:pPr>
        <w:keepLines/>
        <w:spacing w:after="200"/>
        <w:jc w:val="both"/>
        <w:rPr>
          <w:rFonts w:ascii="Arial" w:hAnsi="Arial" w:cs="Arial"/>
          <w:sz w:val="20"/>
        </w:rPr>
      </w:pPr>
      <w:r>
        <w:rPr>
          <w:rFonts w:ascii="Arial" w:hAnsi="Arial" w:cs="Arial"/>
          <w:sz w:val="20"/>
        </w:rPr>
        <w:t>After public dissemination, all of the Company’s Disclosure Statements are to be monitored and the Disclosure Controls Committee should consider updates or other corrective measures as it may determine to be necessary or appropriate.</w:t>
      </w:r>
    </w:p>
    <w:p w14:paraId="3F00F358" w14:textId="77777777" w:rsidR="00FA3548" w:rsidRDefault="00C55425" w:rsidP="00733428">
      <w:pPr>
        <w:spacing w:after="200"/>
        <w:jc w:val="both"/>
        <w:rPr>
          <w:rFonts w:ascii="Arial" w:hAnsi="Arial" w:cs="Arial"/>
          <w:sz w:val="20"/>
        </w:rPr>
      </w:pPr>
      <w:r>
        <w:rPr>
          <w:rFonts w:ascii="Arial" w:hAnsi="Arial" w:cs="Arial"/>
          <w:sz w:val="20"/>
        </w:rPr>
        <w:t>The Company will endeavor to include in its Disclosure Statements (</w:t>
      </w:r>
      <w:proofErr w:type="spellStart"/>
      <w:r>
        <w:rPr>
          <w:rFonts w:ascii="Arial" w:hAnsi="Arial" w:cs="Arial"/>
          <w:sz w:val="20"/>
        </w:rPr>
        <w:t>i</w:t>
      </w:r>
      <w:proofErr w:type="spellEnd"/>
      <w:r>
        <w:rPr>
          <w:rFonts w:ascii="Arial" w:hAnsi="Arial" w:cs="Arial"/>
          <w:sz w:val="20"/>
        </w:rPr>
        <w:t>) appropriate cautionary information, (ii) specific time references such as "as of (specific time and date rather than indefinite time references such as 'currently') the Company expects . . . ." to minimize the duty to update, and (iii) information sufficient to answer likely questions to minimize further inquiry.</w:t>
      </w:r>
    </w:p>
    <w:p w14:paraId="2284401A" w14:textId="77777777" w:rsidR="00FA3548" w:rsidRDefault="00C55425" w:rsidP="00733428">
      <w:pPr>
        <w:spacing w:after="200"/>
        <w:jc w:val="both"/>
        <w:rPr>
          <w:rFonts w:ascii="Arial" w:hAnsi="Arial" w:cs="Arial"/>
          <w:sz w:val="20"/>
        </w:rPr>
      </w:pPr>
      <w:r>
        <w:rPr>
          <w:rFonts w:ascii="Arial" w:hAnsi="Arial" w:cs="Arial"/>
          <w:b/>
          <w:sz w:val="20"/>
        </w:rPr>
        <w:t>Modification</w:t>
      </w:r>
    </w:p>
    <w:p w14:paraId="469BE3B6" w14:textId="77777777" w:rsidR="00FA3548" w:rsidRDefault="00C55425" w:rsidP="00733428">
      <w:pPr>
        <w:spacing w:after="200"/>
        <w:jc w:val="both"/>
        <w:rPr>
          <w:rFonts w:ascii="Arial" w:hAnsi="Arial" w:cs="Arial"/>
          <w:sz w:val="20"/>
        </w:rPr>
      </w:pPr>
      <w:r>
        <w:rPr>
          <w:rFonts w:ascii="Arial" w:hAnsi="Arial" w:cs="Arial"/>
          <w:sz w:val="20"/>
        </w:rPr>
        <w:t>This Disclosure Policy may be modified from time to time by the Disclosure Controls Committee as it determines to be appropriate.</w:t>
      </w:r>
    </w:p>
    <w:p w14:paraId="657B94C8" w14:textId="77777777" w:rsidR="00FA3548" w:rsidRDefault="00C55425" w:rsidP="00733428">
      <w:pPr>
        <w:spacing w:after="200"/>
        <w:jc w:val="both"/>
        <w:rPr>
          <w:rFonts w:ascii="Arial" w:hAnsi="Arial" w:cs="Arial"/>
          <w:b/>
          <w:sz w:val="20"/>
        </w:rPr>
      </w:pPr>
      <w:r>
        <w:rPr>
          <w:rFonts w:ascii="Arial" w:hAnsi="Arial" w:cs="Arial"/>
          <w:sz w:val="20"/>
        </w:rPr>
        <w:br w:type="page"/>
      </w:r>
      <w:r>
        <w:rPr>
          <w:rFonts w:ascii="Arial" w:hAnsi="Arial" w:cs="Arial"/>
          <w:b/>
          <w:sz w:val="20"/>
        </w:rPr>
        <w:lastRenderedPageBreak/>
        <w:t>Annex A</w:t>
      </w:r>
    </w:p>
    <w:p w14:paraId="5107AA6D" w14:textId="77777777" w:rsidR="00FA3548" w:rsidRDefault="00C55425" w:rsidP="00733428">
      <w:pPr>
        <w:spacing w:after="200"/>
        <w:jc w:val="both"/>
        <w:rPr>
          <w:rFonts w:ascii="Arial" w:hAnsi="Arial" w:cs="Arial"/>
          <w:sz w:val="20"/>
        </w:rPr>
      </w:pPr>
      <w:r>
        <w:rPr>
          <w:rFonts w:ascii="Arial" w:hAnsi="Arial" w:cs="Arial"/>
          <w:sz w:val="20"/>
        </w:rPr>
        <w:t xml:space="preserve">At your request, Sprouts Farmers Market, Inc. (“Sprouts”) has reviewed the factual information contained in the attached report or other communication solely to correct any discrepancies between such factual information and information that </w:t>
      </w:r>
      <w:proofErr w:type="gramStart"/>
      <w:r>
        <w:rPr>
          <w:rFonts w:ascii="Arial" w:hAnsi="Arial" w:cs="Arial"/>
          <w:sz w:val="20"/>
        </w:rPr>
        <w:t>Sprouts</w:t>
      </w:r>
      <w:proofErr w:type="gramEnd"/>
      <w:r>
        <w:rPr>
          <w:rFonts w:ascii="Arial" w:hAnsi="Arial" w:cs="Arial"/>
          <w:sz w:val="20"/>
        </w:rPr>
        <w:t xml:space="preserve"> has previously made publicly available. Sprouts has not reviewed and does not comment on any conclusions or other quantitative or qualitative information contained in such report or other communication nor will Sprouts comment or provide any other guidance with respect to information as of a more recent date than information that it has previously made publicly available. </w:t>
      </w:r>
      <w:proofErr w:type="gramStart"/>
      <w:r>
        <w:rPr>
          <w:rFonts w:ascii="Arial" w:hAnsi="Arial" w:cs="Arial"/>
          <w:sz w:val="20"/>
        </w:rPr>
        <w:t>Sprouts undertakes</w:t>
      </w:r>
      <w:proofErr w:type="gramEnd"/>
      <w:r>
        <w:rPr>
          <w:rFonts w:ascii="Arial" w:hAnsi="Arial" w:cs="Arial"/>
          <w:sz w:val="20"/>
        </w:rPr>
        <w:t xml:space="preserve"> no obligation to update any information that it has previously made publicly available or this review. </w:t>
      </w:r>
    </w:p>
    <w:sectPr w:rsidR="00FA3548">
      <w:footerReference w:type="default" r:id="rId8"/>
      <w:headerReference w:type="first" r:id="rId9"/>
      <w:footerReference w:type="first" r:id="rId10"/>
      <w:pgSz w:w="12240" w:h="15840" w:code="1"/>
      <w:pgMar w:top="180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B11B1" w14:textId="77777777" w:rsidR="0085468E" w:rsidRDefault="0085468E">
      <w:r>
        <w:separator/>
      </w:r>
    </w:p>
  </w:endnote>
  <w:endnote w:type="continuationSeparator" w:id="0">
    <w:p w14:paraId="6BCA645E" w14:textId="77777777" w:rsidR="0085468E" w:rsidRDefault="0085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EngravrsRoman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45AF39" w14:textId="77777777" w:rsidR="0085468E" w:rsidRDefault="0085468E">
    <w:pPr>
      <w:pStyle w:val="Footer"/>
      <w:tabs>
        <w:tab w:val="clear" w:pos="4320"/>
        <w:tab w:val="center" w:pos="4680"/>
      </w:tabs>
      <w:spacing w:line="200" w:lineRule="exact"/>
    </w:pPr>
    <w: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A77518">
      <w:rPr>
        <w:rStyle w:val="PageNumber"/>
        <w:rFonts w:ascii="Arial" w:hAnsi="Arial"/>
        <w:noProof/>
        <w:sz w:val="20"/>
      </w:rPr>
      <w:t>2</w:t>
    </w:r>
    <w:r>
      <w:rPr>
        <w:rStyle w:val="PageNumber"/>
        <w:rFonts w:ascii="Arial" w:hAnsi="Arial"/>
        <w:sz w:val="20"/>
      </w:rPr>
      <w:fldChar w:fldCharType="end"/>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98261D" w14:textId="77777777" w:rsidR="0085468E" w:rsidRDefault="00A77518">
    <w:pPr>
      <w:pStyle w:val="GTTagline"/>
      <w:rPr>
        <w:i w:val="0"/>
      </w:rPr>
    </w:pPr>
    <w:r>
      <w:rPr>
        <w:i w:val="0"/>
      </w:rPr>
      <w:pict w14:anchorId="44B74079">
        <v:shapetype id="_x0000_t202" coordsize="21600,21600" o:spt="202" path="m0,0l0,21600,21600,21600,21600,0xe">
          <v:stroke joinstyle="miter"/>
          <v:path gradientshapeok="t" o:connecttype="rect"/>
        </v:shapetype>
        <v:shape id="zzmpTrailer_1078_1" o:spid="_x0000_s2058" type="#_x0000_t202" style="position:absolute;margin-left:-6pt;margin-top:4.8pt;width:201.6pt;height:20.15pt;z-index:25166233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" filled="f" stroked="f" strokeweight=".5pt">
          <v:textbox inset="0,0,0,0">
            <w:txbxContent>
              <w:p w14:paraId="45312E02" w14:textId="77777777" w:rsidR="0085468E" w:rsidRDefault="0085468E">
                <w:pPr>
                  <w:pStyle w:val="MacPacTrailer"/>
                </w:pPr>
              </w:p>
            </w:txbxContent>
          </v:textbox>
          <w10:wrap anchorx="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1F569" w14:textId="77777777" w:rsidR="0085468E" w:rsidRDefault="0085468E">
      <w:pPr>
        <w:spacing w:line="80" w:lineRule="exact"/>
      </w:pPr>
      <w:r>
        <w:separator/>
      </w:r>
    </w:p>
  </w:footnote>
  <w:footnote w:type="continuationSeparator" w:id="0">
    <w:p w14:paraId="44DEBA04" w14:textId="77777777" w:rsidR="0085468E" w:rsidRDefault="0085468E">
      <w:pPr>
        <w:spacing w:line="80" w:lineRule="exac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2478FD" w14:textId="77777777" w:rsidR="0085468E" w:rsidRDefault="0085468E">
    <w:pPr>
      <w:pStyle w:val="Header"/>
      <w:rPr>
        <w:rFonts w:ascii="Arial" w:hAnsi="Arial" w:cs="Arial"/>
        <w:sz w:val="20"/>
      </w:rPr>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64E7A"/>
    <w:lvl w:ilvl="0">
      <w:start w:val="1"/>
      <w:numFmt w:val="decimal"/>
      <w:lvlText w:val="%1."/>
      <w:lvlJc w:val="left"/>
      <w:pPr>
        <w:tabs>
          <w:tab w:val="num" w:pos="1800"/>
        </w:tabs>
        <w:ind w:left="1800" w:hanging="360"/>
      </w:pPr>
    </w:lvl>
  </w:abstractNum>
  <w:abstractNum w:abstractNumId="1">
    <w:nsid w:val="FFFFFF7D"/>
    <w:multiLevelType w:val="singleLevel"/>
    <w:tmpl w:val="695ED78C"/>
    <w:lvl w:ilvl="0">
      <w:start w:val="1"/>
      <w:numFmt w:val="decimal"/>
      <w:lvlText w:val="%1."/>
      <w:lvlJc w:val="left"/>
      <w:pPr>
        <w:tabs>
          <w:tab w:val="num" w:pos="1440"/>
        </w:tabs>
        <w:ind w:left="1440" w:hanging="360"/>
      </w:pPr>
    </w:lvl>
  </w:abstractNum>
  <w:abstractNum w:abstractNumId="2">
    <w:nsid w:val="FFFFFF7E"/>
    <w:multiLevelType w:val="singleLevel"/>
    <w:tmpl w:val="1146153E"/>
    <w:lvl w:ilvl="0">
      <w:start w:val="1"/>
      <w:numFmt w:val="decimal"/>
      <w:lvlText w:val="%1."/>
      <w:lvlJc w:val="left"/>
      <w:pPr>
        <w:tabs>
          <w:tab w:val="num" w:pos="1080"/>
        </w:tabs>
        <w:ind w:left="1080" w:hanging="360"/>
      </w:pPr>
    </w:lvl>
  </w:abstractNum>
  <w:abstractNum w:abstractNumId="3">
    <w:nsid w:val="FFFFFF7F"/>
    <w:multiLevelType w:val="singleLevel"/>
    <w:tmpl w:val="EC7A848A"/>
    <w:lvl w:ilvl="0">
      <w:start w:val="1"/>
      <w:numFmt w:val="decimal"/>
      <w:lvlText w:val="%1."/>
      <w:lvlJc w:val="left"/>
      <w:pPr>
        <w:tabs>
          <w:tab w:val="num" w:pos="720"/>
        </w:tabs>
        <w:ind w:left="720" w:hanging="360"/>
      </w:pPr>
    </w:lvl>
  </w:abstractNum>
  <w:abstractNum w:abstractNumId="4">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66779A"/>
    <w:lvl w:ilvl="0">
      <w:start w:val="1"/>
      <w:numFmt w:val="decimal"/>
      <w:lvlText w:val="%1."/>
      <w:lvlJc w:val="left"/>
      <w:pPr>
        <w:tabs>
          <w:tab w:val="num" w:pos="360"/>
        </w:tabs>
        <w:ind w:left="360" w:hanging="360"/>
      </w:pPr>
    </w:lvl>
  </w:abstractNum>
  <w:abstractNum w:abstractNumId="9">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548"/>
    <w:rsid w:val="00007DEC"/>
    <w:rsid w:val="000F7D9E"/>
    <w:rsid w:val="0029779E"/>
    <w:rsid w:val="00733428"/>
    <w:rsid w:val="0085468E"/>
    <w:rsid w:val="00A77518"/>
    <w:rsid w:val="00C55425"/>
    <w:rsid w:val="00FA354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287A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480" w:lineRule="auto"/>
      <w:ind w:firstLine="1440"/>
    </w:pPr>
  </w:style>
  <w:style w:type="paragraph" w:styleId="Header">
    <w:name w:val="header"/>
    <w:basedOn w:val="Normal"/>
    <w:pPr>
      <w:tabs>
        <w:tab w:val="center" w:pos="4320"/>
        <w:tab w:val="right" w:pos="9360"/>
      </w:tabs>
    </w:pPr>
  </w:style>
  <w:style w:type="paragraph" w:styleId="Footer">
    <w:name w:val="footer"/>
    <w:basedOn w:val="Normal"/>
    <w:link w:val="FooterChar"/>
    <w:pPr>
      <w:tabs>
        <w:tab w:val="center" w:pos="4320"/>
        <w:tab w:val="right" w:pos="9360"/>
      </w:tabs>
      <w:spacing w:line="240" w:lineRule="atLeast"/>
    </w:pPr>
    <w:rPr>
      <w:sz w:val="20"/>
    </w:rPr>
  </w:style>
  <w:style w:type="character" w:styleId="PageNumber">
    <w:name w:val="page number"/>
    <w:rPr>
      <w:sz w:val="24"/>
    </w:rPr>
  </w:style>
  <w:style w:type="paragraph" w:styleId="BodyTextIndent">
    <w:name w:val="Body Text Indent"/>
    <w:basedOn w:val="BodyText"/>
    <w:next w:val="BodyText"/>
    <w:pPr>
      <w:spacing w:line="240" w:lineRule="auto"/>
      <w:ind w:left="720" w:firstLine="0"/>
    </w:pPr>
  </w:style>
  <w:style w:type="paragraph" w:customStyle="1" w:styleId="LHFirmName">
    <w:name w:val="LH Firm Name"/>
    <w:basedOn w:val="Normal"/>
    <w:pPr>
      <w:spacing w:after="120"/>
      <w:ind w:left="-720"/>
    </w:pPr>
    <w:rPr>
      <w:rFonts w:ascii="EngravrsRoman BT" w:hAnsi="EngravrsRoman BT"/>
      <w:b/>
      <w:spacing w:val="10"/>
      <w:sz w:val="15"/>
    </w:rPr>
  </w:style>
  <w:style w:type="paragraph" w:customStyle="1" w:styleId="BodyTextContinued">
    <w:name w:val="Body Text Continued"/>
    <w:basedOn w:val="BodyText"/>
    <w:next w:val="BodyText"/>
    <w:pPr>
      <w:ind w:firstLine="0"/>
    </w:p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before="240"/>
    </w:pPr>
    <w:rPr>
      <w:b/>
      <w:caps/>
    </w:rPr>
  </w:style>
  <w:style w:type="paragraph" w:customStyle="1" w:styleId="SDP">
    <w:name w:val="SDP"/>
    <w:basedOn w:val="Normal"/>
    <w:next w:val="Normal"/>
    <w:pPr>
      <w:spacing w:before="240"/>
    </w:pPr>
    <w:rPr>
      <w:b/>
      <w:caps/>
    </w:rPr>
  </w:style>
  <w:style w:type="paragraph" w:customStyle="1" w:styleId="ColorfulGrid-Accent11">
    <w:name w:val="Colorful Grid - Accent 11"/>
    <w:basedOn w:val="Normal"/>
    <w:next w:val="BodyTextContinued"/>
    <w:qFormat/>
    <w:pPr>
      <w:widowControl w:val="0"/>
      <w:spacing w:before="240" w:line="240" w:lineRule="exact"/>
      <w:ind w:left="1440" w:right="1440"/>
    </w:pPr>
  </w:style>
  <w:style w:type="paragraph" w:customStyle="1" w:styleId="Centered">
    <w:name w:val="Centered"/>
    <w:basedOn w:val="Normal"/>
    <w:next w:val="BodyText"/>
    <w:pPr>
      <w:spacing w:after="240" w:line="240" w:lineRule="exact"/>
      <w:jc w:val="center"/>
    </w:pPr>
  </w:style>
  <w:style w:type="paragraph" w:customStyle="1" w:styleId="HeaderNumbers">
    <w:name w:val="HeaderNumbers"/>
    <w:basedOn w:val="Normal"/>
    <w:pPr>
      <w:spacing w:before="720" w:line="480" w:lineRule="exact"/>
      <w:ind w:right="144"/>
      <w:jc w:val="right"/>
    </w:pPr>
  </w:style>
  <w:style w:type="paragraph" w:customStyle="1" w:styleId="LeftHeading">
    <w:name w:val="Left Heading"/>
    <w:basedOn w:val="Normal"/>
    <w:next w:val="Normal"/>
    <w:rPr>
      <w:b/>
    </w:rPr>
  </w:style>
  <w:style w:type="paragraph" w:styleId="PlainText">
    <w:name w:val="Plain Text"/>
    <w:basedOn w:val="Normal"/>
    <w:rPr>
      <w:rFonts w:ascii="Courier New" w:hAnsi="Courier New"/>
      <w:sz w:val="20"/>
    </w:rPr>
  </w:style>
  <w:style w:type="paragraph" w:customStyle="1" w:styleId="LetterSignature">
    <w:name w:val="Letter Signature"/>
    <w:basedOn w:val="Normal"/>
    <w:pPr>
      <w:keepNext/>
      <w:keepLines/>
      <w:ind w:left="4680"/>
    </w:pPr>
  </w:style>
  <w:style w:type="paragraph" w:customStyle="1" w:styleId="PleadingSignature2">
    <w:name w:val="Pleading Signature 2"/>
    <w:basedOn w:val="PleadingSignature"/>
    <w:pPr>
      <w:tabs>
        <w:tab w:val="clear" w:pos="5040"/>
        <w:tab w:val="left" w:pos="4046"/>
      </w:tabs>
      <w:ind w:left="3600"/>
    </w:pPr>
  </w:style>
  <w:style w:type="character" w:customStyle="1" w:styleId="FooterChar">
    <w:name w:val="Footer Char"/>
    <w:basedOn w:val="DefaultParagraphFont"/>
    <w:link w:val="Footer"/>
    <w:uiPriority w:val="99"/>
  </w:style>
  <w:style w:type="paragraph" w:customStyle="1" w:styleId="GTTagline">
    <w:name w:val="GTTagline"/>
    <w:basedOn w:val="Normal"/>
    <w:next w:val="Footer"/>
    <w:rPr>
      <w:rFonts w:ascii="Arial" w:hAnsi="Arial" w:cs="Arial"/>
      <w:i/>
      <w:sz w:val="16"/>
    </w:rPr>
  </w:style>
  <w:style w:type="paragraph" w:customStyle="1" w:styleId="MacPacTrailer">
    <w:name w:val="MacPac Trailer"/>
    <w:pPr>
      <w:widowControl w:val="0"/>
      <w:spacing w:line="200" w:lineRule="exact"/>
    </w:pPr>
    <w:rPr>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unhideWhenUse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Stores xmlns="6414ad9e-5f49-4c72-8148-2f18fea7a4d6"/>
    <sfmPublicationEndDate xmlns="6414ad9e-5f49-4c72-8148-2f18fea7a4d6">2015-12-09T07:00:00+00:00</sfmPublicationEndDate>
    <sfmPublicationStartDate xmlns="6414ad9e-5f49-4c72-8148-2f18fea7a4d6">2015-11-25T07:00:00+00:00</sfmPublicationStartDate>
    <sfmStates xmlns="6414ad9e-5f49-4c72-8148-2f18fea7a4d6"/>
    <sfmRegions xmlns="6414ad9e-5f49-4c72-8148-2f18fea7a4d6"/>
    <sfmContentDisplayColumn xmlns="6414ad9e-5f49-4c72-8148-2f18fea7a4d6">Do Not Display On Landing Page</sfmContentDisplayColumn>
    <sfmMarkets xmlns="6414ad9e-5f49-4c72-8148-2f18fea7a4d6"/>
    <sfmAudienceTargets xmlns="6414ad9e-5f49-4c72-8148-2f18fea7a4d6"/>
    <sfmDisplayPriority xmlns="6414ad9e-5f49-4c72-8148-2f18fea7a4d6">3 - Normal</sfmDisplayPriority>
    <sfmDivisions xmlns="6414ad9e-5f49-4c72-8148-2f18fea7a4d6"/>
    <sfmHolidayTargets xmlns="6414ad9e-5f49-4c72-8148-2f18fea7a4d6"/>
    <sfmTargetLandingPage xmlns="6414ad9e-5f49-4c72-8148-2f18fea7a4d6" xsi:nil="true"/>
    <sfmHRDocumentCategory xmlns="6414ad9e-5f49-4c72-8148-2f18fea7a4d6">37</sfmHRDocumentCategory>
    <sfmPinUntilCleared xmlns="6414ad9e-5f49-4c72-8148-2f18fea7a4d6">false</sfmPinUntilCleared>
  </documentManagement>
</p:properties>
</file>

<file path=customXml/item2.xml><?xml version="1.0" encoding="utf-8"?>
<ct:contentTypeSchema xmlns:ct="http://schemas.microsoft.com/office/2006/metadata/contentType" xmlns:ma="http://schemas.microsoft.com/office/2006/metadata/properties/metaAttributes" ct:_="" ma:_="" ma:contentTypeName="Sprouts HR Document" ma:contentTypeID="0x010100CFE25E24C5107E4FBCCE4B7C4743FCD10300ACB4E5062983E54AAFC97BEA3214C7CD" ma:contentTypeVersion="16" ma:contentTypeDescription="" ma:contentTypeScope="" ma:versionID="d6cdfe558b72d8da33e02d2b91425ee7">
  <xsd:schema xmlns:xsd="http://www.w3.org/2001/XMLSchema" xmlns:xs="http://www.w3.org/2001/XMLSchema" xmlns:p="http://schemas.microsoft.com/office/2006/metadata/properties" xmlns:ns2="6414ad9e-5f49-4c72-8148-2f18fea7a4d6" targetNamespace="http://schemas.microsoft.com/office/2006/metadata/properties" ma:root="true" ma:fieldsID="cebc3b589af2461a1cd226bd7d60ae04" ns2:_="">
    <xsd:import namespace="6414ad9e-5f49-4c72-8148-2f18fea7a4d6"/>
    <xsd:element name="properties">
      <xsd:complexType>
        <xsd:sequence>
          <xsd:element name="documentManagement">
            <xsd:complexType>
              <xsd:all>
                <xsd:element ref="ns2:sfmDisplayPriority"/>
                <xsd:element ref="ns2:sfmPublicationStartDate" minOccurs="0"/>
                <xsd:element ref="ns2:sfmPublicationEndDate" minOccurs="0"/>
                <xsd:element ref="ns2:sfmPinUntilCleared" minOccurs="0"/>
                <xsd:element ref="ns2:sfmTargetLandingPage" minOccurs="0"/>
                <xsd:element ref="ns2:sfmContentDisplayColumn" minOccurs="0"/>
                <xsd:element ref="ns2:sfmDivisions" minOccurs="0"/>
                <xsd:element ref="ns2:sfmRegions" minOccurs="0"/>
                <xsd:element ref="ns2:sfmMarkets" minOccurs="0"/>
                <xsd:element ref="ns2:sfmStores" minOccurs="0"/>
                <xsd:element ref="ns2:sfmStates" minOccurs="0"/>
                <xsd:element ref="ns2:sfmAudienceTargets" minOccurs="0"/>
                <xsd:element ref="ns2:sfmHolidayTargets" minOccurs="0"/>
                <xsd:element ref="ns2:sfmTargetLandingPage_x003a_Title" minOccurs="0"/>
                <xsd:element ref="ns2:sfmHR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4ad9e-5f49-4c72-8148-2f18fea7a4d6" elementFormDefault="qualified">
    <xsd:import namespace="http://schemas.microsoft.com/office/2006/documentManagement/types"/>
    <xsd:import namespace="http://schemas.microsoft.com/office/infopath/2007/PartnerControls"/>
    <xsd:element name="sfmDisplayPriority" ma:index="2" ma:displayName="Display Priority" ma:default="3 - Normal" ma:format="Dropdown" ma:internalName="sfmDisplayPriority">
      <xsd:simpleType>
        <xsd:restriction base="dms:Choice">
          <xsd:enumeration value="1 - Critical"/>
          <xsd:enumeration value="2 - High"/>
          <xsd:enumeration value="3 - Normal"/>
          <xsd:enumeration value="4 - Low"/>
        </xsd:restriction>
      </xsd:simpleType>
    </xsd:element>
    <xsd:element name="sfmPublicationStartDate" ma:index="3" nillable="true" ma:displayName="Publication Start Date" ma:format="DateOnly" ma:internalName="sfmPublicationStartDate" ma:readOnly="false">
      <xsd:simpleType>
        <xsd:restriction base="dms:DateTime"/>
      </xsd:simpleType>
    </xsd:element>
    <xsd:element name="sfmPublicationEndDate" ma:index="4" nillable="true" ma:displayName="Publication End Date" ma:format="DateOnly" ma:internalName="sfmPublicationEndDate" ma:readOnly="false">
      <xsd:simpleType>
        <xsd:restriction base="dms:DateTime"/>
      </xsd:simpleType>
    </xsd:element>
    <xsd:element name="sfmPinUntilCleared" ma:index="5" nillable="true" ma:displayName="Pin Until Cleared" ma:default="0" ma:internalName="sfmPinUntilCleared">
      <xsd:simpleType>
        <xsd:restriction base="dms:Boolean"/>
      </xsd:simpleType>
    </xsd:element>
    <xsd:element name="sfmTargetLandingPage" ma:index="6" nillable="true" ma:displayName="Target Landing Page" ma:list="{b10ea513-1c5f-439b-ba3f-51b2b84ce94c}" ma:internalName="sfmTargetLandingPage" ma:showField="PageNameLookup" ma:web="6414ad9e-5f49-4c72-8148-2f18fea7a4d6">
      <xsd:simpleType>
        <xsd:restriction base="dms:Lookup"/>
      </xsd:simpleType>
    </xsd:element>
    <xsd:element name="sfmContentDisplayColumn" ma:index="7" nillable="true" ma:displayName="Content Display Column" ma:default="Do Not Display On Landing Page" ma:format="Dropdown" ma:internalName="sfmContentDisplayColumn">
      <xsd:simpleType>
        <xsd:restriction base="dms:Choice">
          <xsd:enumeration value="Do Not Display On Landing Page"/>
          <xsd:enumeration value="Landing Page Column 1"/>
          <xsd:enumeration value="Landing Page Column 2"/>
          <xsd:enumeration value="Landing Page Column 3"/>
          <xsd:enumeration value="Landing Page Column 4"/>
        </xsd:restriction>
      </xsd:simpleType>
    </xsd:element>
    <xsd:element name="sfmDivisions" ma:index="8" nillable="true" ma:displayName="Divisions" ma:hidden="true" ma:list="a5168a30-aec2-4737-8bd3-dc454b8f2edd" ma:internalName="sfmDivisions" ma:readOnly="false" ma:showField="sfmDivisionLookup">
      <xsd:complexType>
        <xsd:complexContent>
          <xsd:extension base="dms:MultiChoiceLookup">
            <xsd:sequence>
              <xsd:element name="Value" type="dms:Lookup" maxOccurs="unbounded" minOccurs="0" nillable="true"/>
            </xsd:sequence>
          </xsd:extension>
        </xsd:complexContent>
      </xsd:complexType>
    </xsd:element>
    <xsd:element name="sfmRegions" ma:index="9" nillable="true" ma:displayName="Regions" ma:hidden="true" ma:list="aef165b6-e627-4aa5-9b81-35b729fa6830" ma:internalName="sfmRegions" ma:readOnly="false" ma:showField="sfmRegionLookup">
      <xsd:complexType>
        <xsd:complexContent>
          <xsd:extension base="dms:MultiChoiceLookup">
            <xsd:sequence>
              <xsd:element name="Value" type="dms:Lookup" maxOccurs="unbounded" minOccurs="0" nillable="true"/>
            </xsd:sequence>
          </xsd:extension>
        </xsd:complexContent>
      </xsd:complexType>
    </xsd:element>
    <xsd:element name="sfmMarkets" ma:index="10" nillable="true" ma:displayName="Markets" ma:hidden="true" ma:list="45bff2e0-275e-4b4f-a3dc-4af50a3a43b1" ma:internalName="sfmMarkets" ma:readOnly="false" ma:showField="sfmMarketLookup">
      <xsd:complexType>
        <xsd:complexContent>
          <xsd:extension base="dms:MultiChoiceLookup">
            <xsd:sequence>
              <xsd:element name="Value" type="dms:Lookup" maxOccurs="unbounded" minOccurs="0" nillable="true"/>
            </xsd:sequence>
          </xsd:extension>
        </xsd:complexContent>
      </xsd:complexType>
    </xsd:element>
    <xsd:element name="sfmStores" ma:index="11" nillable="true" ma:displayName="Stores" ma:hidden="true" ma:list="f8d665da-e0ac-439f-8e63-f875c6ac7e66" ma:internalName="sfmStores" ma:readOnly="false" ma:showField="sfmStoreLookup">
      <xsd:complexType>
        <xsd:complexContent>
          <xsd:extension base="dms:MultiChoiceLookup">
            <xsd:sequence>
              <xsd:element name="Value" type="dms:Lookup" maxOccurs="unbounded" minOccurs="0" nillable="true"/>
            </xsd:sequence>
          </xsd:extension>
        </xsd:complexContent>
      </xsd:complexType>
    </xsd:element>
    <xsd:element name="sfmStates" ma:index="12" nillable="true" ma:displayName="States" ma:list="fd4f32b6-e528-4014-b395-0cd3788a3da6" ma:internalName="sfmStates" ma:showField="sfmStateLookup">
      <xsd:complexType>
        <xsd:complexContent>
          <xsd:extension base="dms:MultiChoiceLookup">
            <xsd:sequence>
              <xsd:element name="Value" type="dms:Lookup" maxOccurs="unbounded" minOccurs="0" nillable="true"/>
            </xsd:sequence>
          </xsd:extension>
        </xsd:complexContent>
      </xsd:complexType>
    </xsd:element>
    <xsd:element name="sfmAudienceTargets" ma:index="13" nillable="true" ma:displayName="Audience Targets" ma:hidden="true" ma:list="{6ee34c75-3c17-407a-a1bf-befc85362551}" ma:internalName="sfmAudienceTargets" ma:readOnly="false" ma:showField="Title" ma:web="6414ad9e-5f49-4c72-8148-2f18fea7a4d6">
      <xsd:complexType>
        <xsd:complexContent>
          <xsd:extension base="dms:MultiChoiceLookup">
            <xsd:sequence>
              <xsd:element name="Value" type="dms:Lookup" maxOccurs="unbounded" minOccurs="0" nillable="true"/>
            </xsd:sequence>
          </xsd:extension>
        </xsd:complexContent>
      </xsd:complexType>
    </xsd:element>
    <xsd:element name="sfmHolidayTargets" ma:index="14" nillable="true" ma:displayName="Holiday Targets" ma:hidden="true" ma:list="{2957f9aa-3de4-4697-b7f2-f4fa7de8164a}" ma:internalName="sfmHolidayTargets" ma:readOnly="false" ma:showField="Title" ma:web="6414ad9e-5f49-4c72-8148-2f18fea7a4d6">
      <xsd:complexType>
        <xsd:complexContent>
          <xsd:extension base="dms:MultiChoiceLookup">
            <xsd:sequence>
              <xsd:element name="Value" type="dms:Lookup" maxOccurs="unbounded" minOccurs="0" nillable="true"/>
            </xsd:sequence>
          </xsd:extension>
        </xsd:complexContent>
      </xsd:complexType>
    </xsd:element>
    <xsd:element name="sfmTargetLandingPage_x003a_Title" ma:index="20" nillable="true" ma:displayName="sfmTargetLandingPage:Title" ma:list="{b10ea513-1c5f-439b-ba3f-51b2b84ce94c}" ma:internalName="sfmTargetLandingPage_x003A_Title" ma:readOnly="true" ma:showField="Title" ma:web="6414ad9e-5f49-4c72-8148-2f18fea7a4d6">
      <xsd:simpleType>
        <xsd:restriction base="dms:Lookup"/>
      </xsd:simpleType>
    </xsd:element>
    <xsd:element name="sfmHRDocumentCategory" ma:index="22" nillable="true" ma:displayName="HR Document Category" ma:list="{9ad528da-a280-4b81-960a-375787506c3e}" ma:internalName="sfmHRDocumentCategory" ma:showField="Title" ma:web="6414ad9e-5f49-4c72-8148-2f18fea7a4d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FDA83-5E63-4B5A-A4BD-2B61E63016BA}"/>
</file>

<file path=customXml/itemProps2.xml><?xml version="1.0" encoding="utf-8"?>
<ds:datastoreItem xmlns:ds="http://schemas.openxmlformats.org/officeDocument/2006/customXml" ds:itemID="{BE9C5D6C-730E-434B-8E59-F002BF18754C}"/>
</file>

<file path=customXml/itemProps3.xml><?xml version="1.0" encoding="utf-8"?>
<ds:datastoreItem xmlns:ds="http://schemas.openxmlformats.org/officeDocument/2006/customXml" ds:itemID="{315212CB-9B6D-4D88-A03A-AD34BFAAE8BC}"/>
</file>

<file path=docProps/app.xml><?xml version="1.0" encoding="utf-8"?>
<Properties xmlns="http://schemas.openxmlformats.org/officeDocument/2006/extended-properties" xmlns:vt="http://schemas.openxmlformats.org/officeDocument/2006/docPropsVTypes">
  <Template>Normal.dotm</Template>
  <TotalTime>31</TotalTime>
  <Pages>4</Pages>
  <Words>1526</Words>
  <Characters>8702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MacPac 8.0 Normal template</vt:lpstr>
    </vt:vector>
  </TitlesOfParts>
  <Company/>
  <LinksUpToDate>false</LinksUpToDate>
  <CharactersWithSpaces>10208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Policy</dc:title>
  <cp:lastModifiedBy>Brandon Lombardi</cp:lastModifiedBy>
  <cp:revision>7</cp:revision>
  <dcterms:created xsi:type="dcterms:W3CDTF">2013-06-25T17:02:00Z</dcterms:created>
  <dcterms:modified xsi:type="dcterms:W3CDTF">2013-07-19T20:37:00Z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0x010100CFE25E24C5107E4FBCCE4B7C4743FCD10300ACB4E5062983E54AAFC97BEA3214C7CD</vt:lpwstr>
  </property>
</Properties>
</file>